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196</w:t>
      </w:r>
    </w:p>
    <w:p>
      <w:r>
        <w:t>Bundesgericht (BGE), 2000-01-01, FR</w:t>
      </w:r>
    </w:p>
    <w:p>
      <w:r>
        <w:rPr>
          <w:b/>
        </w:rPr>
        <w:t xml:space="preserve">Quelle: </w:t>
      </w:r>
      <w:r>
        <w:t>https://mcp.opencaselaw.ch/entscheid/bge_126 II 196</w:t>
      </w:r>
    </w:p>
    <w:p>
      <w:r>
        <w:t>FR: ATF 126 II 196</w:t>
      </w:r>
    </w:p>
    <w:p>
      <w:r>
        <w:t>IT: DTF 126 II 196</w:t>
      </w:r>
    </w:p>
    <w:p>
      <w:pPr>
        <w:pStyle w:val="Heading2"/>
      </w:pPr>
      <w:r>
        <w:t>Regeste</w:t>
      </w:r>
    </w:p>
    <w:p>
      <w:r>
        <w:t>Regeste Art. 16 Abs. 2 SVG; Überschreiten der allgemeinen Höchstgeschwindigkeit innerorts; mittelschwerer Fall. Das Überschreiten der allgemeinen Innerortshöchstgeschwindigkeit von 50 km/h um 21-24 km/h stellt objektiv, d.h. unabhängig von den konkreten Gegebenheiten, einen mittelschweren Fall dar, der - abgesehen von besonderen Umständen - einen Führerausweisentzug nach sich zieht. Die Anordnung einer milderen Massnahme, insbesondere einer Verwarnung ist nur möglich, wenn der Fahrzeugführer ernsthafte Gründe hatte anzunehmen, er befinde sich nicht mehr im Bereich der Geschwindigkeitsbeschränkung, oder wenn ähnliche Umstände wie in Art. 66bis StGB vorliegen, die ein Absehen von Strafe erlauben (E. 2; Bestätigung der Rechtsprechung).</w:t>
      </w:r>
    </w:p>
    <w:p>
      <w:pPr>
        <w:pStyle w:val="Heading2"/>
      </w:pPr>
      <w:r>
        <w:t>Erwägungen</w:t>
      </w:r>
    </w:p>
    <w:p>
      <w:r>
        <w:rPr>
          <w:b/>
        </w:rPr>
        <w:t>E. 1</w:t>
      </w:r>
    </w:p>
    <w:p>
      <w:r>
        <w:t>Lorsque, comme en l'espèce,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 Relevant que l'endroit de l'infraction se trouve à la hauteur d'un arrêt de bus, le recourant allègue que cela "permet de supposer avec un certain degré de certitude la présence probable d'autres usagers". Il laisse ainsi entendre la présence de piétons à l'endroit et au moment de l'infraction, ce que l'arrêt attaqué ne constate pas. Comme il l'admet, le rapport de police indique uniquement que le trafic était important, sans faire état de la présence de piétons. Au demeurant, à l'appui de sa réponse au recours, l'intimée a produit un horaire attestant qu'aucun bus ne circulait à cet endroit au moment de l'infraction. Il n'est dès lors pas établi que l'état de fait de l'arrêt attaqué serait inexact ou incomplet dans la mesure où il ne mentionne pas la présence de piétons à l'endroit et au moment de l'infraction. De son côté, l'OFR allègue l'inexistence d'indices selon lesquels l'intimée aurait cru à tort que le tronçon sur lequel elle circulait n'était pas situé dans une localité. L'arrêt attaqué ne constate cependant aucune erreur de l'intimée sur ce point, que celle-ci n'a du reste jamais alléguée; il se borne en effet à relever que rien ne vient infirmer les déclarations de l'intimée, selon lesquelles celle-ci a circulé à la vitesse réglementaire, qu'elle n'a excédée que pour avoir accéléré trop tôt, soit avant le signal indiquant la fin de la zone de limitation; il ne retient aucune erreur de celle-ci quant au fait qu'elle se trouvait sur un tronçon où la vitesse est limitée ni quant à l'endroit où cette zone prend fin. Autre est la question, qui sera examinée ci-après, de savoir si c'est à tort que l'autorité cantonale a considéré qu'il se justifiait d'examiner le cas d'espèce selon les critères applicables lorsque l'infraction est commise hors localité. BGE 126 II 196 S. 199</w:t>
      </w:r>
    </w:p>
    <w:p>
      <w:r>
        <w:rPr>
          <w:b/>
        </w:rPr>
        <w:t>E. 2</w:t>
      </w:r>
    </w:p>
    <w:p>
      <w:r>
        <w:t>Le recourant fait valoir que le cas doit être considéré comme de moyenne gravité et entraîner un retrait du permis de conduire. a) Selon la jurisprudence, lorsque la vitesse maximale générale de 50 km/h autorisée dans les localités est dépassée de 21 à 24 km/h, il y a lieu d'admettre qu'il s'agit objectivement, c'est-à-dire sans égard aux circonstances concrètes, d'un cas de gravité moyenne, qui doit entraîner le retrait du permis de conduire en application de l' art. 16 al. 2 1 ère phrase LCR; un tel dépassement de la vitesse autorisée dans une localité crée en effet une mise en danger importante impliquant une faute correspondante, de sorte que même en présence d'éléments favorables, il ne peut être renoncé qu'exceptionnellement à un retrait du permis de conduire, qui doit donc être prononcé sauf circonstances particulières ( ATF 124 II 97 consid. 2b p. 100 s.).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grave ou, inversement, comme de peu de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 ATF 124 II 97 consid. 2c p. 101). b) Il est établi que l'intimée a dépassé de 22 km/h la vitesse autorisée, dans un hameau où celle-ci est limitée à 50 km/h selon la signalisation mise en place, qui comporte, au point de départ de la zone, le signal "Vitesse maximale, Limite générale" (2.30.1) et, à la fin de la zone, le signal "Fin de la vitesse maximale 50, Limite générale (2.53.1). Cette limitation générale de vitesse à 50 km/h s'applique dans toute la zone bâtie de façon compacte à l'intérieur de la localité ( art. 4a al. 2 1 ère phrase de l'ordonnance du 13 novembre 1962 sur les règles de la circulation routière [OCR; RS 741.11]), son début devant être annoncé dès qu'il existe une zone bâtie de façon compacte sur l'un des côtés de la route et sa fin à partir de l'endroit où ni l'un ni l'autre des côtés de la route n'est bâti d'une façon compacte (art. 22 al. 3 de l'ordonnance du 5 septembre 1979 sur la signalisation routière [OSR; RS 741.21]). Le dépassement de vitesse a ainsi été commis sur un tronçon typiquement signalisé comme se trouvant dans une localité. BGE 126 II 196 S. 200 L'arrêt attaqué considère néanmoins que la configuration des lieux - un petit hameau composé d'une dizaine de bâtiments, dont seule la moitié se trouve à proximité immédiate de la route cantonale - conduit à admettre que l'infraction a été commise hors localité et en déduit que, selon les critères applicables dans un tel cas, l'excès de vitesse constaté peut encore être considéré comme un cas de peu de gravité. Ce raisonnement ne peut être suivi, dès lors qu'il revient à faire abstraction de la signalisation routière mise en place - qui indique clairement que le tronçon de route en question est situé dans une localité - et à admettre que les limitations de vitesse fixées par l'autorité compétente puissent être remises en cause. Or, selon la jurisprudence, les signaux sont juridiquement valables lorsqu'ils ont été placés à la suite d'une décision et d'une publication conformes de l'autorité compétente, visiblement exprimées sous la forme de la signalisation concrète ( ATF 100 IV 71 consid. 2 p. 73 s., récemment confirmé dans l' ATF 126 IV 48 consid. 2a p. 51). Au demeurant, l'intimée n'a jamais allégué qu'elle ignorait la portée de la signalisation mise en place; selon l'arrêt attaqué, elle a du reste respecté cette signalisation sur une partie du tronçon, qu'elle semble d'ailleurs avoir emprunté habituellement, ne dépassant la limitation signalée que pour avoir accéléré trop tôt, soit avant le signal indiquant la fin de la zone de limitation. En conséquence, c'est à tort que l'arrêt attaqué admet l'application au cas d'espèce des critères à prendre en considération en cas de dépassement de vitesse commis hors d'une localité. c) L'intimée ayant dépassé de 22 km/h (marge de sécurité déduite) la vitesse maximale autorisée à l'intérieur d'une localité, c'est avec raison que le recourant se prévaut de la jurisprudence précitée (cf. supra, let. a), qui est applicable. Conformément à cette jurisprudence, il s'agit donc objectivement d'un cas de moyenne gravité, sans égard aux circonstances concrètes, devant entraîner un retrait du permis de conduire, à moins que le cas ne doive être considéré comme grave ou, inversement, comme de peu de gravité en raison de circonstances particulières. Comme on l'a vu, un cas de peu de gravité peut entrer en considération lorsqu'il est établi que le conducteur avait des motifs sérieux de penser qu'il ne se trouvait plus dans la zone de limitation de vitesse (cf. ATF 124 II 97 consid. 2c p. 101). Au reste, cela ne saurait être admis que lorsqu'on se trouve en présence de circonstances analogues à celles qui justifient de renoncer à une peine en application de l' art. 66bis CP (ATF ATF 124 II 97 consid. 2b p. 101; ATF 118 Ib 229 consid. 3 p. 232 s.). BGE 126 II 196 S. 201 En l'espèce, on ne discerne pas de circonstances particulières justifiant de renoncer à un retrait du permis de conduire. Comme on l'a vu (cf. supra, consid. 1), aucune erreur de l'intimée quant à l'endroit où prend fin la zone de limitation de la vitesse n'a été constatée; une telle erreur n'a du reste jamais été alléguée par celle-ci. Que le dépassement litigieux ne soit intervenu que vers la fin de la zone de limitation de la vitesse ne constitue certes pas une circonstance particulière, telle que définie ci-dessus, justifiant que l'on s'écarte du principe posé par la jurisprudence. Il est vrai que l'intimée, qui conduit depuis une dizaine d'années, n'a pas d'antécédents en matière de circulation routière. Dans un arrêt récent du 19 novembre 1999 ( ATF 125 II 561 consid. 2c p. 567), le Tribunal fédéral, modifiant sur ce point sa jurisprudence, a certes admis que le prononcé d'un simple avertissement n'est pas exclu lorsque le contrevenant jouit depuis longtemps d'une réputation sans taches, mais pour autant toutefois que la faute commise soit légère. Or, comme on l'a vu (cf. supra, let. a), un dépassement de 21 à 24 km/h de la vitesse autorisée dans une localité crée une mise en danger importante impliquant une faute correspondante, laquelle n'est donc pas légère. Quant au besoin professionnel que peut avoir le conducteur de son permis, il ne joue de rôle que pour décider de la durée du retrait (cf. ATF 123 II 572 consid. 2c p. 574 s.), qui, en l'espèce, avait été fixée au minimum légal de 1 mois ( art. 17 al. 1 let. a LCR ). L'intimée n'a d'ailleurs jamais fait valoir que la difficulté qu'elle a de se rendre à son travail, à A., avec un autre moyen de transport que l'automobile justifierait de renoncer à un retrait de son permis de conduire; comme elle le relève expressément, elle n'a jamais demandé l'annulation de cette mesure, mais entendait uniquement obtenir que celle-ci soit exécutée de manière à ce qu'elle ne soit pas exposée à se retrouver au chômage. A cet égard, il convient de rappeler que, conformément au principe de la proportionnalité, l'autorité, qui conserve en ce domaine un certain pouvoir d'appréciation, ne saurait en abuser en refusant d'aménager l'exécution d'un retrait du permis de conduire de manière à éviter qu'il n'entraîne pour l'intéressé des conséquences allant au-delà du but de cette mesure. S'agissant d'un cas de moyenne gravité et aucune circonstance particulière ne justifiant de renoncer à un retrait du permis, cette mesure devait être prononcée. Pour l'avoir méconnu, l'autorité cantonale a violé le droit fédéral. Le recours est donc fondé et l'arrêt attaqué doit être annulé. BGE 126 II 196 S. 202 d) Si l'on voulait envisager la possibilité d'une sanction moins lourde (retrait du permis avec sursis; avertissement aussi dans les cas de moyenne gravité) en présence de circonstances comme celles de la présente espèce (risque que le conducteur perde son emploi et se retrouve ainsi au chômage; bons antécédents comme conducteur), il appartiendrait au législateur de modifier la loi en ce sens. e) Lorsque, saisi d'un recours de droit administratif, le Tribunal fédéral annule la décision attaquée, il peut soit statuer lui-même sur le fond, soit renvoyer la cause pour nouvelle décision à l'autorité inférieure, voire à l'autorité qui a statué en première instance ( art. 114 al. 2 OJ ). En l'espèce, le recours a été formé par l'autorité qui a pris la décision de première instance ( art. 24 al. 5 let. a LCR ), laquelle conclut à la confirmation de sa décision du 2 août 1999; la Cour de céans ne pouvant aller au-delà des conclusions du recourant ( art. 114 al. 1 OJ ), qui demande le retrait du permis de l'intimée pour la durée minimale légale d'un mois, il ne reste plus à l'autorité aucune marge d'appréciation. Il se justifie donc de renoncer à un renvoi, qui constituerait un inutile détour procédural, et de prononcer immédiatement le retrait du permis de conduire de l'intimée pour une durée d'un mois. Il appartiendra à l'autorité compétente de faire en sorte que la mesure puisse être exécutée de manière à ce que l'intimée ne soit pas exposée à perdre son emploi, ce qui irait au-delà du but de la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